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Installation Guide</w:t>
      </w:r>
    </w:p>
    <w:p w:rsidR="00000000" w:rsidDel="00000000" w:rsidP="00000000" w:rsidRDefault="00000000" w:rsidRPr="00000000" w14:paraId="00000002">
      <w:pPr>
        <w:spacing w:line="276" w:lineRule="auto"/>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Pr>
        <w:drawing>
          <wp:inline distB="114300" distT="114300" distL="114300" distR="114300">
            <wp:extent cx="1819275" cy="400050"/>
            <wp:effectExtent b="0" l="0" r="0" t="0"/>
            <wp:docPr id="2" name="image4.png"/>
            <a:graphic>
              <a:graphicData uri="http://schemas.openxmlformats.org/drawingml/2006/picture">
                <pic:pic>
                  <pic:nvPicPr>
                    <pic:cNvPr id="0" name="image4.png"/>
                    <pic:cNvPicPr preferRelativeResize="0"/>
                  </pic:nvPicPr>
                  <pic:blipFill>
                    <a:blip r:embed="rId6"/>
                    <a:srcRect b="0" l="0" r="0" t="0"/>
                    <a:stretch>
                      <a:fillRect/>
                    </a:stretch>
                  </pic:blipFill>
                  <pic:spPr>
                    <a:xfrm>
                      <a:off x="0" y="0"/>
                      <a:ext cx="1819275" cy="40005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Pr>
        <w:drawing>
          <wp:inline distB="114300" distT="114300" distL="114300" distR="114300">
            <wp:extent cx="2676525" cy="60960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67652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Pr>
        <w:drawing>
          <wp:inline distB="114300" distT="114300" distL="114300" distR="114300">
            <wp:extent cx="971550" cy="657225"/>
            <wp:effectExtent b="0" l="0" r="0" t="0"/>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71550" cy="65722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Pr>
        <w:drawing>
          <wp:inline distB="114300" distT="114300" distL="114300" distR="114300">
            <wp:extent cx="1552575" cy="504825"/>
            <wp:effectExtent b="0" l="0" r="0" t="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552575" cy="504825"/>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Fonts w:ascii="Times New Roman" w:cs="Times New Roman" w:eastAsia="Times New Roman" w:hAnsi="Times New Roman"/>
          <w:sz w:val="24"/>
          <w:szCs w:val="24"/>
          <w:rtl w:val="0"/>
        </w:rPr>
        <w:t xml:space="preserve">The code can be run on any program that can run a Jypter notebook, such as the Jypter Anaconda extension, Pipenv, or google collab. </w:t>
      </w:r>
      <w:r w:rsidDel="00000000" w:rsidR="00000000" w:rsidRPr="00000000">
        <w:rPr>
          <w:rFonts w:ascii="Times New Roman" w:cs="Times New Roman" w:eastAsia="Times New Roman" w:hAnsi="Times New Roman"/>
          <w:sz w:val="24"/>
          <w:szCs w:val="24"/>
          <w:rtl w:val="0"/>
        </w:rPr>
        <w:t xml:space="preserve">The scraper however must fire an instance locally through Firefox. Either Anaconda or Pipenv may be used for data analysis. Firefox and Jupyter Notebook must both be opened and placed in certain locations on the screen so that the bot can allow selenium to function properly by being able to click on the proper inputs. Once run, the user can ensure proper function by checking the status of the downloaded CSV files or by checking the loading pages ensuring the bot is scraping through the list of stocks. Also ensure that there is atleast a 5 second delay on clicks to avoid bot detection from websites.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